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0B13A" w14:textId="77777777" w:rsidR="00E54EB4" w:rsidRDefault="00E54EB4" w:rsidP="00E54EB4">
      <w:pPr>
        <w:snapToGrid w:val="0"/>
        <w:spacing w:line="360" w:lineRule="auto"/>
        <w:rPr>
          <w:rFonts w:ascii="黑体" w:eastAsia="黑体" w:hAnsi="黑体"/>
          <w:bCs/>
          <w:sz w:val="40"/>
          <w:szCs w:val="40"/>
        </w:rPr>
      </w:pPr>
      <w:r>
        <w:rPr>
          <w:rFonts w:ascii="黑体" w:eastAsia="黑体" w:hAnsi="黑体" w:hint="eastAsia"/>
          <w:bCs/>
          <w:sz w:val="40"/>
          <w:szCs w:val="40"/>
        </w:rPr>
        <w:t>附件</w:t>
      </w:r>
      <w:r>
        <w:rPr>
          <w:rFonts w:ascii="黑体" w:eastAsia="黑体" w:hAnsi="黑体"/>
          <w:bCs/>
          <w:sz w:val="40"/>
          <w:szCs w:val="40"/>
        </w:rPr>
        <w:t>1</w:t>
      </w:r>
      <w:r>
        <w:rPr>
          <w:rFonts w:ascii="黑体" w:eastAsia="黑体" w:hAnsi="黑体" w:hint="eastAsia"/>
          <w:bCs/>
          <w:sz w:val="40"/>
          <w:szCs w:val="40"/>
        </w:rPr>
        <w:t>：</w:t>
      </w:r>
    </w:p>
    <w:p w14:paraId="34CBBCC9" w14:textId="77777777" w:rsidR="00E54EB4" w:rsidRDefault="00E54EB4" w:rsidP="00E54EB4">
      <w:pPr>
        <w:widowControl/>
        <w:spacing w:line="360" w:lineRule="auto"/>
        <w:jc w:val="center"/>
        <w:rPr>
          <w:rFonts w:ascii="方正小标宋简体" w:eastAsia="方正小标宋简体" w:hAnsi="仿宋"/>
          <w:bCs/>
          <w:sz w:val="28"/>
          <w:szCs w:val="28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第三届高校电气电子工程创新大赛赛道G赛题要求</w:t>
      </w:r>
    </w:p>
    <w:p w14:paraId="07164623" w14:textId="77777777" w:rsidR="00E54EB4" w:rsidRDefault="00E54EB4" w:rsidP="00E54EB4">
      <w:pPr>
        <w:widowControl/>
        <w:spacing w:beforeLines="100" w:before="312" w:line="360" w:lineRule="auto"/>
        <w:rPr>
          <w:rStyle w:val="10"/>
          <w:rFonts w:ascii="仿宋" w:eastAsia="仿宋" w:hAnsi="仿宋"/>
          <w:sz w:val="32"/>
          <w:szCs w:val="32"/>
        </w:rPr>
      </w:pPr>
      <w:bookmarkStart w:id="0" w:name="OLE_LINK2"/>
      <w:r>
        <w:rPr>
          <w:rStyle w:val="10"/>
          <w:rFonts w:ascii="仿宋" w:eastAsia="仿宋" w:hAnsi="仿宋" w:cs="仿宋" w:hint="eastAsia"/>
          <w:sz w:val="32"/>
          <w:szCs w:val="32"/>
        </w:rPr>
        <w:t>一、</w:t>
      </w:r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赛题</w:t>
      </w:r>
      <w:r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Style w:val="10"/>
          <w:rFonts w:ascii="仿宋" w:eastAsia="仿宋" w:hAnsi="仿宋" w:cs="仿宋" w:hint="eastAsia"/>
          <w:sz w:val="32"/>
          <w:szCs w:val="32"/>
        </w:rPr>
        <w:t>电力电子创新型）</w:t>
      </w:r>
    </w:p>
    <w:p w14:paraId="7C8D5B64" w14:textId="77777777" w:rsidR="00E54EB4" w:rsidRDefault="00E54EB4" w:rsidP="00E54EB4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（一）题目</w:t>
      </w:r>
    </w:p>
    <w:p w14:paraId="55F811C0" w14:textId="77777777" w:rsidR="00E54EB4" w:rsidRDefault="00E54EB4" w:rsidP="00E54EB4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双向直流隔离变换器</w:t>
      </w:r>
    </w:p>
    <w:p w14:paraId="28CDC77F" w14:textId="77777777" w:rsidR="00E54EB4" w:rsidRDefault="00E54EB4" w:rsidP="00E54EB4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（二）题目背景</w:t>
      </w:r>
    </w:p>
    <w:p w14:paraId="796B1751" w14:textId="77777777" w:rsidR="00E54EB4" w:rsidRDefault="00E54EB4" w:rsidP="00E54EB4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能源汽车，光伏，储能等行业的日益成熟，推动着新型电力系统快速发展。双向直流隔离变换器是这类应用的基础，有宽输出，高密度，高效率，快速切换等技术要求。本次大赛以“双向直流隔离变换器”为题，鼓励大家用工程化的思路解决问题、积极探索新型拓扑。</w:t>
      </w:r>
    </w:p>
    <w:p w14:paraId="1C6A89DF" w14:textId="77777777" w:rsidR="00E54EB4" w:rsidRDefault="00E54EB4" w:rsidP="00E54EB4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（三）设计要求</w:t>
      </w:r>
    </w:p>
    <w:p w14:paraId="3E37E4D6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．拓扑要求：双向变换、隔离拓扑</w:t>
      </w:r>
    </w:p>
    <w:p w14:paraId="0152C1C2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．输入电压范围：</w:t>
      </w:r>
      <w:r>
        <w:rPr>
          <w:rFonts w:ascii="仿宋" w:eastAsia="仿宋" w:hAnsi="仿宋" w:cs="仿宋"/>
          <w:sz w:val="32"/>
          <w:szCs w:val="32"/>
        </w:rPr>
        <w:t>36Vdc</w:t>
      </w:r>
      <w:r>
        <w:rPr>
          <w:rFonts w:ascii="仿宋" w:eastAsia="仿宋" w:hAnsi="仿宋" w:cs="仿宋" w:hint="eastAsia"/>
          <w:sz w:val="32"/>
          <w:szCs w:val="32"/>
        </w:rPr>
        <w:t>～</w:t>
      </w:r>
      <w:r>
        <w:rPr>
          <w:rFonts w:ascii="仿宋" w:eastAsia="仿宋" w:hAnsi="仿宋" w:cs="仿宋"/>
          <w:sz w:val="32"/>
          <w:szCs w:val="32"/>
        </w:rPr>
        <w:t>60Vdc</w:t>
      </w:r>
    </w:p>
    <w:p w14:paraId="5EDFE50C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/>
          <w:sz w:val="32"/>
          <w:szCs w:val="32"/>
        </w:rPr>
        <w:t>输出电压：400Vdc</w:t>
      </w:r>
    </w:p>
    <w:p w14:paraId="4E62F8B1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．额定输出功率：</w:t>
      </w:r>
      <w:r>
        <w:rPr>
          <w:rFonts w:ascii="仿宋" w:eastAsia="仿宋" w:hAnsi="仿宋" w:cs="仿宋"/>
          <w:sz w:val="32"/>
          <w:szCs w:val="32"/>
        </w:rPr>
        <w:t>1kW</w:t>
      </w:r>
    </w:p>
    <w:p w14:paraId="45EB82DB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．其它：不能采用液冷，如果采用风冷，风机的尺寸及功耗要算入整个系统，鼓励采用自然冷却；满足</w:t>
      </w:r>
      <w:r>
        <w:rPr>
          <w:rFonts w:ascii="仿宋" w:eastAsia="仿宋" w:hAnsi="仿宋" w:cs="仿宋"/>
          <w:sz w:val="32"/>
          <w:szCs w:val="32"/>
        </w:rPr>
        <w:t>1500Vdc隔离耐压要求。</w:t>
      </w:r>
    </w:p>
    <w:p w14:paraId="7707DC41" w14:textId="77777777" w:rsidR="00E54EB4" w:rsidRDefault="00E54EB4" w:rsidP="00E54EB4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（四）作品要求</w:t>
      </w:r>
    </w:p>
    <w:p w14:paraId="03999B82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初赛要求：提供概要设计方案，鼓励提供电路详细设计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方案；</w:t>
      </w:r>
    </w:p>
    <w:p w14:paraId="36EF814D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复赛要求：</w:t>
      </w:r>
      <w:r>
        <w:rPr>
          <w:rFonts w:ascii="仿宋" w:eastAsia="仿宋" w:hAnsi="仿宋" w:cs="仿宋" w:hint="eastAsia"/>
          <w:sz w:val="32"/>
          <w:szCs w:val="32"/>
        </w:rPr>
        <w:t>提供电路详细设计方案，如器件选型、磁性器件详细设计、控制方式、损耗计算报告、电路仿真报告；报告的完整性、规范性和可读性，以及仿真文件的规范性、可读性都会影响复赛结果。若复赛阶段有样机提供，可加分。</w:t>
      </w:r>
    </w:p>
    <w:p w14:paraId="1D402DDB" w14:textId="77777777" w:rsidR="00E54EB4" w:rsidRDefault="00E54EB4" w:rsidP="00E54EB4">
      <w:pPr>
        <w:widowControl/>
        <w:spacing w:line="360" w:lineRule="auto"/>
        <w:ind w:firstLineChars="200" w:firstLine="640"/>
        <w:contextualSpacing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决赛要求：</w:t>
      </w:r>
      <w:r>
        <w:rPr>
          <w:rFonts w:ascii="仿宋" w:eastAsia="仿宋" w:hAnsi="仿宋" w:cs="仿宋" w:hint="eastAsia"/>
          <w:sz w:val="32"/>
          <w:szCs w:val="32"/>
        </w:rPr>
        <w:t>提供</w:t>
      </w:r>
      <w:r>
        <w:rPr>
          <w:rFonts w:ascii="仿宋" w:eastAsia="仿宋" w:hAnsi="仿宋" w:cs="仿宋"/>
          <w:sz w:val="32"/>
          <w:szCs w:val="32"/>
        </w:rPr>
        <w:t>样机</w:t>
      </w:r>
      <w:r>
        <w:rPr>
          <w:rFonts w:ascii="仿宋" w:eastAsia="仿宋" w:hAnsi="仿宋" w:cs="仿宋" w:hint="eastAsia"/>
          <w:sz w:val="32"/>
          <w:szCs w:val="32"/>
        </w:rPr>
        <w:t>，可进行现场</w:t>
      </w:r>
      <w:r>
        <w:rPr>
          <w:rFonts w:ascii="仿宋" w:eastAsia="仿宋" w:hAnsi="仿宋" w:cs="仿宋"/>
          <w:sz w:val="32"/>
          <w:szCs w:val="32"/>
        </w:rPr>
        <w:t>展示</w:t>
      </w:r>
      <w:r>
        <w:rPr>
          <w:rFonts w:ascii="仿宋" w:eastAsia="仿宋" w:hAnsi="仿宋" w:cs="仿宋" w:hint="eastAsia"/>
          <w:sz w:val="32"/>
          <w:szCs w:val="32"/>
        </w:rPr>
        <w:t>。样机的</w:t>
      </w:r>
      <w:r>
        <w:rPr>
          <w:rFonts w:ascii="仿宋" w:eastAsia="仿宋" w:hAnsi="仿宋" w:cs="仿宋"/>
          <w:sz w:val="32"/>
          <w:szCs w:val="32"/>
        </w:rPr>
        <w:t>现场测试</w:t>
      </w:r>
      <w:r>
        <w:rPr>
          <w:rFonts w:ascii="仿宋" w:eastAsia="仿宋" w:hAnsi="仿宋" w:cs="仿宋" w:hint="eastAsia"/>
          <w:sz w:val="32"/>
          <w:szCs w:val="32"/>
        </w:rPr>
        <w:t>指标如下：</w:t>
      </w:r>
    </w:p>
    <w:p w14:paraId="422BFDF4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/>
          <w:sz w:val="32"/>
          <w:szCs w:val="32"/>
        </w:rPr>
        <w:t>耐压测试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AC 3.6kV，50Hz 3mA 2s</w:t>
      </w:r>
    </w:p>
    <w:p w14:paraId="2CBA59DA" w14:textId="77777777" w:rsidR="00E54EB4" w:rsidRDefault="00E54EB4" w:rsidP="00E54EB4">
      <w:pPr>
        <w:widowControl/>
        <w:spacing w:line="360" w:lineRule="auto"/>
        <w:ind w:firstLineChars="200" w:firstLine="640"/>
        <w:contextualSpacing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/>
          <w:sz w:val="32"/>
          <w:szCs w:val="32"/>
        </w:rPr>
        <w:t>长期运行测试：</w:t>
      </w:r>
    </w:p>
    <w:p w14:paraId="0415BC5E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/>
          <w:sz w:val="32"/>
          <w:szCs w:val="32"/>
        </w:rPr>
        <w:t>25°C环境温度下满载1kW持续工作1小时，其中正向输出和反向输出各30分钟；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/>
          <w:sz w:val="32"/>
          <w:szCs w:val="32"/>
        </w:rPr>
        <w:t>40℃环境温度下满载1kW持续工作1小时，其中正向输出和反向输出各30分钟。</w:t>
      </w:r>
    </w:p>
    <w:p w14:paraId="50E81027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/>
          <w:sz w:val="32"/>
          <w:szCs w:val="32"/>
        </w:rPr>
        <w:t>性能测试：</w:t>
      </w:r>
    </w:p>
    <w:p w14:paraId="71C0963C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双向切换：满载、半载、空载；</w:t>
      </w:r>
    </w:p>
    <w:p w14:paraId="0450757C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负载切换：满载、半载、空载之间切换；</w:t>
      </w:r>
    </w:p>
    <w:p w14:paraId="1DB7C8ED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考核指标涵盖指定工况下的电压纹波率、端口电流纹波、效率、切换响应及完成时间等。</w:t>
      </w:r>
    </w:p>
    <w:p w14:paraId="2EA3EC63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/>
          <w:sz w:val="32"/>
          <w:szCs w:val="32"/>
        </w:rPr>
        <w:t>整机设计：</w:t>
      </w:r>
    </w:p>
    <w:p w14:paraId="61B065F5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考核功率密度、冷却方法（鼓励自然冷却）</w:t>
      </w:r>
    </w:p>
    <w:p w14:paraId="47445998" w14:textId="77777777" w:rsidR="00E54EB4" w:rsidRDefault="00E54EB4" w:rsidP="00E54EB4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注：不考虑</w:t>
      </w:r>
      <w:r>
        <w:rPr>
          <w:rFonts w:ascii="仿宋" w:eastAsia="仿宋" w:hAnsi="仿宋" w:cs="仿宋"/>
          <w:sz w:val="32"/>
          <w:szCs w:val="32"/>
        </w:rPr>
        <w:t>EMC，负载为R载。</w:t>
      </w:r>
    </w:p>
    <w:p w14:paraId="242E0425" w14:textId="77777777" w:rsidR="00E54EB4" w:rsidRDefault="00E54EB4" w:rsidP="00E54EB4">
      <w:pPr>
        <w:widowControl/>
        <w:spacing w:line="360" w:lineRule="auto"/>
        <w:rPr>
          <w:rStyle w:val="10"/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二、赛题2（</w:t>
      </w:r>
      <w:r>
        <w:rPr>
          <w:rStyle w:val="10"/>
          <w:rFonts w:ascii="仿宋" w:eastAsia="仿宋" w:hAnsi="仿宋" w:cs="仿宋" w:hint="eastAsia"/>
          <w:sz w:val="32"/>
          <w:szCs w:val="32"/>
        </w:rPr>
        <w:t>电气智能控制应用型）</w:t>
      </w:r>
    </w:p>
    <w:p w14:paraId="1461D6D0" w14:textId="77777777" w:rsidR="00E54EB4" w:rsidRDefault="00E54EB4" w:rsidP="00E54EB4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（一）题目</w:t>
      </w:r>
    </w:p>
    <w:p w14:paraId="087A9519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AI算法实现伺服系统的优化控制和运动轨迹规划</w:t>
      </w:r>
    </w:p>
    <w:p w14:paraId="61B6A803" w14:textId="77777777" w:rsidR="00E54EB4" w:rsidRDefault="00E54EB4" w:rsidP="00E54EB4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（二）题目背景</w:t>
      </w:r>
    </w:p>
    <w:p w14:paraId="37586351" w14:textId="77777777" w:rsidR="00E54EB4" w:rsidRDefault="00E54EB4" w:rsidP="00E54EB4">
      <w:pPr>
        <w:pStyle w:val="ArtNormm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随着中国制造业的产业升级，智能化和自动化越来越成为社会主流，各种应用场景也越来越进入到身边的各方各面。其主要目的就是提高效率，减少碳排放，把人解放出来，给人们创造更美好的生活。在电气智能控制应用方面，不单单要求在应用方面需要创新，在制造设备调试中，同样存在创新的空间。比如以光刻机和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晶圆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加工为代表的半导体制造设计以及电子元件贴片机等。调试这些超精密定位性能要求的设备时，需要熟练工程师的手动调试作为辅助，观测加工效果，调整伺服驱动参数才能得到满意的结果，这样效率很低。本次题目，大家可以从调试和使用两方面进行着手，利用施耐德产品或平台进行创新，提供作品。</w:t>
      </w:r>
    </w:p>
    <w:p w14:paraId="54E6E74D" w14:textId="77777777" w:rsidR="00E54EB4" w:rsidRDefault="00E54EB4" w:rsidP="00E54EB4">
      <w:pPr>
        <w:pStyle w:val="ArtNormm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一方面利用人工智能（AI）技术，实现 “熟练工程师精密调试作业”的自动化应用场景，以AI取代工程师的繁复操作为目标，大幅度减少伺服参数最优适配的调试时间。</w:t>
      </w:r>
    </w:p>
    <w:p w14:paraId="39445CC0" w14:textId="77777777" w:rsidR="00E54EB4" w:rsidRDefault="00E54EB4" w:rsidP="00E54EB4">
      <w:pPr>
        <w:pStyle w:val="ArtNormm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另一个方面，可以从应用的运动轨迹规划方面入手，自行设定应用环境；整个作品至少应实现2轴以上运动轨迹规划或1轴运动轨迹规划+1控制模块应用；最终用实物实现场景的运动轨迹，并能够完好实现作品在设定环境下平稳运行。</w:t>
      </w:r>
    </w:p>
    <w:p w14:paraId="0EA6FB2F" w14:textId="77777777" w:rsidR="00E54EB4" w:rsidRDefault="00E54EB4" w:rsidP="00E54EB4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（三）设计要求</w:t>
      </w:r>
    </w:p>
    <w:p w14:paraId="36FEEDDA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调试方面通过AI的智能控制算法，根据采集到的位置与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速度等反馈信息，自主判断加工结果，进而设定伺服驱动的参数，达到最优的控制性能和加工结果。需要参数调整如下（包括但不限于）：</w:t>
      </w:r>
    </w:p>
    <w:p w14:paraId="6CF78B60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1．位置指令滤波</w:t>
      </w:r>
    </w:p>
    <w:p w14:paraId="6FAAD124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2．位置控制增益</w:t>
      </w:r>
    </w:p>
    <w:p w14:paraId="0726483E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3．速度指令滤波</w:t>
      </w:r>
    </w:p>
    <w:p w14:paraId="62AE373B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4．速度控制增益</w:t>
      </w:r>
    </w:p>
    <w:p w14:paraId="5089C1ED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5．速度控制积分时间</w:t>
      </w:r>
    </w:p>
    <w:p w14:paraId="4FE185BA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6．电流环指令滤波</w:t>
      </w:r>
    </w:p>
    <w:p w14:paraId="19D4083D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7．速度前馈</w:t>
      </w:r>
    </w:p>
    <w:p w14:paraId="764CD390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8．加速度前馈</w:t>
      </w:r>
    </w:p>
    <w:p w14:paraId="7C5D3F7C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9．共振抑制（Notch Filter）</w:t>
      </w:r>
    </w:p>
    <w:p w14:paraId="205961C6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10．其他</w:t>
      </w:r>
    </w:p>
    <w:p w14:paraId="2008A7CC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整个系统要求至少优化10个伺服参数，需通过熟练使用EAE软件，要对优化后的伺服性能指标如位置、速度等反馈信息以图形形式展示。运动轨迹规划方面，可自定义应用场景，整个作品需至少实现2轴以上运动轨迹规划或1轴运动轨迹规划+1控制模块应用。</w:t>
      </w:r>
    </w:p>
    <w:p w14:paraId="0719FFCD" w14:textId="77777777" w:rsidR="00E54EB4" w:rsidRDefault="00E54EB4" w:rsidP="00E54EB4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（四）作品要求</w:t>
      </w:r>
    </w:p>
    <w:p w14:paraId="0B7701EA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初赛要求：初赛需要提供：</w:t>
      </w:r>
    </w:p>
    <w:p w14:paraId="6F912873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1．调研综述，阐述相关的研究进展；</w:t>
      </w:r>
    </w:p>
    <w:p w14:paraId="2EC9B7B1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2．提出设计方案，包括方案的具体描述，并提供算法流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程图；</w:t>
      </w:r>
    </w:p>
    <w:p w14:paraId="0B98DB25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．AI的智能控制算法可进一步使用MATLAB实现仿真（可实现性验证、图形、波形等），并可生成C++语言；运动轨迹规划使用EAE进行仿真（可实现性验证、图形、波形等）。</w:t>
      </w:r>
    </w:p>
    <w:p w14:paraId="021BC5C1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复赛要求：</w:t>
      </w:r>
    </w:p>
    <w:p w14:paraId="7E7E3023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．AI的智能控制算法可把该算法生成EAE的可执行文件（C++文件），导入基于EAE的实验平台上进行联合调试，并进一步完善初赛时的想法及理论与实际的差距；</w:t>
      </w:r>
    </w:p>
    <w:p w14:paraId="4A09A34E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．运动轨迹规划复赛需要把原设计好作品及仿真的EAE文件，导入EAE的实验平台上进行联合调试，并进一步完善初赛的想法及理论与实际的差距；</w:t>
      </w:r>
    </w:p>
    <w:p w14:paraId="6ECACA2A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．对于使用含有施耐德产品自行搭建的实验平台，需要提交平台介绍及作品实现证据。熟练使用EAE的应用环境，允许对初赛时提交作品想法进行修改。</w:t>
      </w:r>
    </w:p>
    <w:p w14:paraId="74BA9D7F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决赛要求：</w:t>
      </w:r>
    </w:p>
    <w:p w14:paraId="3639153C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．AI的智能控制算法的可执行文件，需要在基于EAE的平台上，验证算法的有效性；现场评委随机更改初始参数，最终可以回归到最优值；</w:t>
      </w:r>
    </w:p>
    <w:p w14:paraId="46F081A1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．运动轨迹规划需将作品下载到EAE实验平台，并通过EAE读出并绘制出其轨迹，并接受评委现场指示，完成作品所承诺内容，验证作品的有效性（也可携带自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搭建且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含施耐德产品的平台来验证其运动规划的有效性）；</w:t>
      </w:r>
    </w:p>
    <w:p w14:paraId="13A9C75F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3</w:t>
      </w:r>
      <w:r>
        <w:rPr>
          <w:rFonts w:ascii="仿宋" w:eastAsia="仿宋" w:hAnsi="仿宋" w:cs="仿宋" w:hint="eastAsia"/>
          <w:sz w:val="32"/>
          <w:szCs w:val="32"/>
        </w:rPr>
        <w:t>．详细的技术方案设计，包括详细的方案阐述，原理框图及软件控制流程图，公式推导、仿真与实际对比、可实现性、经济性、市场前景等分析。</w:t>
      </w:r>
    </w:p>
    <w:p w14:paraId="73523EBB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</w:p>
    <w:p w14:paraId="353D871E" w14:textId="77777777" w:rsidR="00E54EB4" w:rsidRDefault="00E54EB4" w:rsidP="00E54EB4">
      <w:pPr>
        <w:pStyle w:val="ArtNormm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kern w:val="2"/>
          <w:sz w:val="32"/>
          <w:szCs w:val="32"/>
        </w:rPr>
        <w:t>不强求两方面都实现，可任选一个方面即可；</w:t>
      </w:r>
    </w:p>
    <w:p w14:paraId="1475550E" w14:textId="77777777" w:rsidR="00E54EB4" w:rsidRDefault="00E54EB4" w:rsidP="00E54EB4">
      <w:pPr>
        <w:pStyle w:val="ArtNormm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kern w:val="2"/>
          <w:sz w:val="32"/>
          <w:szCs w:val="32"/>
        </w:rPr>
        <w:t>报名成功后可申请EAE（</w:t>
      </w:r>
      <w:proofErr w:type="spellStart"/>
      <w:r>
        <w:rPr>
          <w:rFonts w:ascii="仿宋" w:eastAsia="仿宋" w:hAnsi="仿宋" w:cs="仿宋" w:hint="eastAsia"/>
          <w:kern w:val="2"/>
          <w:sz w:val="32"/>
          <w:szCs w:val="32"/>
        </w:rPr>
        <w:t>Ecostruxure</w:t>
      </w:r>
      <w:proofErr w:type="spellEnd"/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/>
          <w:kern w:val="2"/>
          <w:sz w:val="32"/>
          <w:szCs w:val="32"/>
        </w:rPr>
        <w:t>A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utomation </w:t>
      </w:r>
      <w:r>
        <w:rPr>
          <w:rFonts w:ascii="仿宋" w:eastAsia="仿宋" w:hAnsi="仿宋" w:cs="仿宋"/>
          <w:kern w:val="2"/>
          <w:sz w:val="32"/>
          <w:szCs w:val="32"/>
        </w:rPr>
        <w:t>E</w:t>
      </w:r>
      <w:r>
        <w:rPr>
          <w:rFonts w:ascii="仿宋" w:eastAsia="仿宋" w:hAnsi="仿宋" w:cs="仿宋" w:hint="eastAsia"/>
          <w:kern w:val="2"/>
          <w:sz w:val="32"/>
          <w:szCs w:val="32"/>
        </w:rPr>
        <w:t>xpert）免费使用一年（报名成功后以提供相关证明发送至iachinahub-external@se.com申请license及相关资料）；</w:t>
      </w:r>
    </w:p>
    <w:p w14:paraId="744CB4AD" w14:textId="77777777" w:rsidR="00E54EB4" w:rsidRDefault="00E54EB4" w:rsidP="00E54EB4">
      <w:pPr>
        <w:pStyle w:val="ArtNormm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kern w:val="2"/>
          <w:sz w:val="32"/>
          <w:szCs w:val="32"/>
        </w:rPr>
        <w:t>对进入复赛且有需求的同学，施耐德可提供免费使用实验平台1个（单轴，且需根据参赛进度返还，最迟到总决赛结束）；</w:t>
      </w:r>
    </w:p>
    <w:p w14:paraId="3DBC52B3" w14:textId="77777777" w:rsidR="00E54EB4" w:rsidRDefault="00E54EB4" w:rsidP="00E54EB4">
      <w:pPr>
        <w:pStyle w:val="ArtNormm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kern w:val="2"/>
          <w:sz w:val="32"/>
          <w:szCs w:val="32"/>
        </w:rPr>
        <w:t>对有需要平台搭建的学校，施耐德可以提供技术支持和帮助搭建；</w:t>
      </w:r>
    </w:p>
    <w:p w14:paraId="7CBD6E9F" w14:textId="77777777" w:rsidR="00E54EB4" w:rsidRDefault="00E54EB4" w:rsidP="00E54EB4">
      <w:pPr>
        <w:pStyle w:val="ArtNormm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kern w:val="2"/>
          <w:sz w:val="32"/>
          <w:szCs w:val="32"/>
        </w:rPr>
        <w:t>对于3轴之上的多轴复杂平台，允许同平台不同作品参赛；</w:t>
      </w:r>
    </w:p>
    <w:p w14:paraId="0A49C28D" w14:textId="77777777" w:rsidR="00E54EB4" w:rsidRDefault="00E54EB4" w:rsidP="00E54EB4">
      <w:pPr>
        <w:pStyle w:val="ArtNormm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kern w:val="2"/>
          <w:sz w:val="32"/>
          <w:szCs w:val="32"/>
        </w:rPr>
        <w:t>推荐如下仿真软件：</w:t>
      </w:r>
      <w:r>
        <w:rPr>
          <w:rFonts w:ascii="仿宋" w:eastAsia="仿宋" w:hAnsi="仿宋" w:cs="仿宋" w:hint="eastAsia"/>
          <w:sz w:val="32"/>
          <w:szCs w:val="32"/>
        </w:rPr>
        <w:t>MATLAB</w:t>
      </w:r>
      <w:r>
        <w:rPr>
          <w:rFonts w:ascii="仿宋" w:eastAsia="仿宋" w:hAnsi="仿宋" w:cs="仿宋" w:hint="eastAsia"/>
          <w:kern w:val="2"/>
          <w:sz w:val="32"/>
          <w:szCs w:val="32"/>
        </w:rPr>
        <w:t>、EAE（</w:t>
      </w:r>
      <w:proofErr w:type="spellStart"/>
      <w:r>
        <w:rPr>
          <w:rFonts w:ascii="仿宋" w:eastAsia="仿宋" w:hAnsi="仿宋" w:cs="仿宋" w:hint="eastAsia"/>
          <w:kern w:val="2"/>
          <w:sz w:val="32"/>
          <w:szCs w:val="32"/>
        </w:rPr>
        <w:t>Ecostruxure</w:t>
      </w:r>
      <w:proofErr w:type="spellEnd"/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/>
          <w:kern w:val="2"/>
          <w:sz w:val="32"/>
          <w:szCs w:val="32"/>
        </w:rPr>
        <w:t>A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utomation </w:t>
      </w:r>
      <w:r>
        <w:rPr>
          <w:rFonts w:ascii="仿宋" w:eastAsia="仿宋" w:hAnsi="仿宋" w:cs="仿宋"/>
          <w:kern w:val="2"/>
          <w:sz w:val="32"/>
          <w:szCs w:val="32"/>
        </w:rPr>
        <w:t>E</w:t>
      </w:r>
      <w:r>
        <w:rPr>
          <w:rFonts w:ascii="仿宋" w:eastAsia="仿宋" w:hAnsi="仿宋" w:cs="仿宋" w:hint="eastAsia"/>
          <w:kern w:val="2"/>
          <w:sz w:val="32"/>
          <w:szCs w:val="32"/>
        </w:rPr>
        <w:t>xpert）。</w:t>
      </w:r>
    </w:p>
    <w:p w14:paraId="4AB94735" w14:textId="77777777" w:rsidR="00E54EB4" w:rsidRDefault="00E54EB4" w:rsidP="00E54EB4">
      <w:pPr>
        <w:widowControl/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</w:t>
      </w:r>
      <w:r>
        <w:rPr>
          <w:rStyle w:val="10"/>
          <w:rFonts w:ascii="仿宋" w:eastAsia="仿宋" w:hAnsi="仿宋" w:cs="仿宋" w:hint="eastAsia"/>
          <w:sz w:val="32"/>
          <w:szCs w:val="32"/>
        </w:rPr>
        <w:t>赛题</w:t>
      </w:r>
      <w:r>
        <w:rPr>
          <w:rStyle w:val="10"/>
          <w:rFonts w:ascii="仿宋" w:eastAsia="仿宋" w:hAnsi="仿宋" w:cs="仿宋"/>
          <w:sz w:val="32"/>
          <w:szCs w:val="32"/>
        </w:rPr>
        <w:t>3</w:t>
      </w:r>
      <w:r>
        <w:rPr>
          <w:rStyle w:val="10"/>
          <w:rFonts w:ascii="仿宋" w:eastAsia="仿宋" w:hAnsi="仿宋" w:cs="仿宋" w:hint="eastAsia"/>
          <w:sz w:val="32"/>
          <w:szCs w:val="32"/>
        </w:rPr>
        <w:t>（软件型）</w:t>
      </w:r>
    </w:p>
    <w:p w14:paraId="40ED87A2" w14:textId="77777777" w:rsidR="00E54EB4" w:rsidRDefault="00E54EB4" w:rsidP="00E54EB4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（一）题目</w:t>
      </w:r>
    </w:p>
    <w:p w14:paraId="73792159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工业园区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光储微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电网的规划与设计</w:t>
      </w:r>
    </w:p>
    <w:p w14:paraId="090148D3" w14:textId="77777777" w:rsidR="00E54EB4" w:rsidRDefault="00E54EB4" w:rsidP="00E54EB4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（二）题目背景</w:t>
      </w:r>
    </w:p>
    <w:p w14:paraId="115372F0" w14:textId="77777777" w:rsidR="00E54EB4" w:rsidRDefault="00E54EB4" w:rsidP="00E54EB4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为了促进高比例利用可再生能源、推动落实“双碳”目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标，某工业园区计划利用园区场地搭建一套集成分布式光伏、新型储能、应急柴油机、泵类负荷等一体化工业绿色微电网。目前园区10kV并网点负荷约8MW，其中泵类负荷约5MW，计划安装分布式光伏12MVA，接入10kV并网母线，需要确定储能配比以及应急柴油机安装容量，并制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整个微网系统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的控制方案和保护方案，在满足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最大化消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纳新能源的同时，保障负荷的可靠稳定运行和并网合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性要求。</w:t>
      </w:r>
    </w:p>
    <w:p w14:paraId="496D2213" w14:textId="77777777" w:rsidR="00E54EB4" w:rsidRDefault="00E54EB4" w:rsidP="00E54EB4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（三）设计要求</w:t>
      </w:r>
    </w:p>
    <w:p w14:paraId="7AC11847" w14:textId="77777777" w:rsidR="00E54EB4" w:rsidRDefault="00E54EB4" w:rsidP="00E54EB4">
      <w:pPr>
        <w:pStyle w:val="a7"/>
        <w:autoSpaceDE w:val="0"/>
        <w:autoSpaceDN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微电网的电气系统设计及设备选型：</w:t>
      </w:r>
    </w:p>
    <w:p w14:paraId="5CCD52C7" w14:textId="77777777" w:rsidR="00E54EB4" w:rsidRDefault="00E54EB4" w:rsidP="00E54EB4">
      <w:pPr>
        <w:pStyle w:val="a7"/>
        <w:autoSpaceDE w:val="0"/>
        <w:autoSpaceDN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1．确定最优储能和柴油机容量配置</w:t>
      </w:r>
    </w:p>
    <w:p w14:paraId="4BED8737" w14:textId="77777777" w:rsidR="00E54EB4" w:rsidRDefault="00E54EB4" w:rsidP="00E54EB4">
      <w:pPr>
        <w:pStyle w:val="a7"/>
        <w:autoSpaceDE w:val="0"/>
        <w:autoSpaceDN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微网电力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系统结构设计</w:t>
      </w:r>
    </w:p>
    <w:p w14:paraId="72692A89" w14:textId="77777777" w:rsidR="00E54EB4" w:rsidRDefault="00E54EB4" w:rsidP="00E54EB4">
      <w:pPr>
        <w:pStyle w:val="a7"/>
        <w:autoSpaceDE w:val="0"/>
        <w:autoSpaceDN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3．光伏组件、逆电器、储能BESS、变压器等关键设备选型</w:t>
      </w:r>
    </w:p>
    <w:p w14:paraId="4791B6A4" w14:textId="77777777" w:rsidR="00E54EB4" w:rsidRDefault="00E54EB4" w:rsidP="00E54EB4">
      <w:pPr>
        <w:pStyle w:val="a7"/>
        <w:autoSpaceDE w:val="0"/>
        <w:autoSpaceDN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微网电气系统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保护配置方案</w:t>
      </w:r>
    </w:p>
    <w:p w14:paraId="3C188892" w14:textId="77777777" w:rsidR="00E54EB4" w:rsidRDefault="00E54EB4" w:rsidP="00E54EB4">
      <w:pPr>
        <w:pStyle w:val="a7"/>
        <w:autoSpaceDE w:val="0"/>
        <w:autoSpaceDN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微网控制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策略设计与验证</w:t>
      </w:r>
    </w:p>
    <w:p w14:paraId="143C1E76" w14:textId="77777777" w:rsidR="00E54EB4" w:rsidRDefault="00E54EB4" w:rsidP="00E54EB4">
      <w:pPr>
        <w:pStyle w:val="a7"/>
        <w:autoSpaceDE w:val="0"/>
        <w:autoSpaceDN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微网接入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系统的电能质量评估分析</w:t>
      </w:r>
    </w:p>
    <w:p w14:paraId="61694B0A" w14:textId="77777777" w:rsidR="00E54EB4" w:rsidRDefault="00E54EB4" w:rsidP="00E54EB4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（四）作品要求</w:t>
      </w:r>
    </w:p>
    <w:p w14:paraId="1F70A4FD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初赛要求：提交设计概要书，内容包含设计思路、设备选型、初步控制策略。呈现形式为PPT、WORD或其他文档形式。</w:t>
      </w:r>
    </w:p>
    <w:p w14:paraId="3F763608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复赛要求：提交初设报告及相关附录文件，初设报告包含作品设计技术报告、主要经济技术指标对比以及项目概算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等。</w:t>
      </w:r>
    </w:p>
    <w:p w14:paraId="3503AC9F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决赛要求：提交完整的设计方案书，可包含以下内容：</w:t>
      </w:r>
    </w:p>
    <w:p w14:paraId="69020FD3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1．储能及柴油机配比分析说明，系统设计、设备选型及相关潮流计算、短路分析、保护选择性、电能质量评估以及控制策略设计、仿真验证结果说明等。</w:t>
      </w:r>
    </w:p>
    <w:p w14:paraId="0F25F71C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2．与设计方案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书一致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的仿真模型。</w:t>
      </w:r>
    </w:p>
    <w:p w14:paraId="3E859E66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3．有硬件设备（如RTDS，控制器）参与控制策略仿真验证，更佳。</w:t>
      </w:r>
    </w:p>
    <w:p w14:paraId="271A95DC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注：推荐如下仿真软件：ETAP，MATLAB。</w:t>
      </w:r>
    </w:p>
    <w:p w14:paraId="41F3D47D" w14:textId="77777777" w:rsidR="00E54EB4" w:rsidRDefault="00E54EB4" w:rsidP="00E54EB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22BA8C2" w14:textId="77777777" w:rsidR="00E54EB4" w:rsidRDefault="00E54EB4" w:rsidP="00E54EB4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（大赛题目最终解释权归属本次大赛组委会）</w:t>
      </w:r>
    </w:p>
    <w:p w14:paraId="185D4870" w14:textId="77777777" w:rsidR="001A73F2" w:rsidRPr="00E54EB4" w:rsidRDefault="001A73F2">
      <w:bookmarkStart w:id="1" w:name="_GoBack"/>
      <w:bookmarkEnd w:id="1"/>
    </w:p>
    <w:sectPr w:rsidR="001A73F2" w:rsidRPr="00E5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C3A47" w14:textId="77777777" w:rsidR="0073329F" w:rsidRDefault="0073329F" w:rsidP="00E54EB4">
      <w:r>
        <w:separator/>
      </w:r>
    </w:p>
  </w:endnote>
  <w:endnote w:type="continuationSeparator" w:id="0">
    <w:p w14:paraId="503ACF59" w14:textId="77777777" w:rsidR="0073329F" w:rsidRDefault="0073329F" w:rsidP="00E5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52BD" w14:textId="77777777" w:rsidR="0073329F" w:rsidRDefault="0073329F" w:rsidP="00E54EB4">
      <w:r>
        <w:separator/>
      </w:r>
    </w:p>
  </w:footnote>
  <w:footnote w:type="continuationSeparator" w:id="0">
    <w:p w14:paraId="24E07F56" w14:textId="77777777" w:rsidR="0073329F" w:rsidRDefault="0073329F" w:rsidP="00E5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AA"/>
    <w:rsid w:val="001A73F2"/>
    <w:rsid w:val="0073329F"/>
    <w:rsid w:val="00B010AA"/>
    <w:rsid w:val="00E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57D1CD-55E5-42C0-8CAD-C46D799D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E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4E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4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EB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E54EB4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E54EB4"/>
    <w:pPr>
      <w:ind w:firstLineChars="200" w:firstLine="420"/>
    </w:pPr>
  </w:style>
  <w:style w:type="paragraph" w:customStyle="1" w:styleId="ArtNormm">
    <w:name w:val="Art_Norm_m"/>
    <w:basedOn w:val="a"/>
    <w:qFormat/>
    <w:rsid w:val="00E54EB4"/>
    <w:pPr>
      <w:widowControl/>
      <w:shd w:val="clear" w:color="auto" w:fill="FFFFFF"/>
      <w:spacing w:before="150" w:after="150"/>
      <w:ind w:firstLine="360"/>
      <w:jc w:val="left"/>
    </w:pPr>
    <w:rPr>
      <w:rFonts w:ascii="Times New Roman" w:eastAsia="宋体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lew</dc:creator>
  <cp:keywords/>
  <dc:description/>
  <cp:lastModifiedBy>ace lew</cp:lastModifiedBy>
  <cp:revision>2</cp:revision>
  <dcterms:created xsi:type="dcterms:W3CDTF">2023-12-03T12:57:00Z</dcterms:created>
  <dcterms:modified xsi:type="dcterms:W3CDTF">2023-12-03T12:57:00Z</dcterms:modified>
</cp:coreProperties>
</file>